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0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87360" w:rsidRPr="00B87360" w:rsidTr="00B8736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363636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B87360" w:rsidRPr="00B87360">
              <w:trPr>
                <w:trHeight w:val="1425"/>
                <w:tblCellSpacing w:w="0" w:type="dxa"/>
              </w:trPr>
              <w:tc>
                <w:tcPr>
                  <w:tcW w:w="0" w:type="auto"/>
                  <w:shd w:val="clear" w:color="auto" w:fill="363636"/>
                  <w:vAlign w:val="center"/>
                  <w:hideMark/>
                </w:tcPr>
                <w:p w:rsidR="00B87360" w:rsidRPr="00B87360" w:rsidRDefault="00B87360" w:rsidP="00B873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pacing w:val="-45"/>
                      <w:sz w:val="72"/>
                      <w:szCs w:val="72"/>
                      <w:lang w:eastAsia="cs-CZ"/>
                    </w:rPr>
                  </w:pPr>
                  <w:bookmarkStart w:id="0" w:name="_GoBack"/>
                  <w:r>
                    <w:rPr>
                      <w:rFonts w:ascii="Arial" w:eastAsia="Times New Roman" w:hAnsi="Arial" w:cs="Arial"/>
                      <w:noProof/>
                      <w:color w:val="FFFFFF"/>
                      <w:spacing w:val="-45"/>
                      <w:sz w:val="72"/>
                      <w:szCs w:val="72"/>
                      <w:lang w:eastAsia="cs-CZ"/>
                    </w:rPr>
                    <w:drawing>
                      <wp:inline distT="0" distB="0" distL="0" distR="0">
                        <wp:extent cx="5506720" cy="982345"/>
                        <wp:effectExtent l="0" t="0" r="0" b="8255"/>
                        <wp:docPr id="1" name="Obrázek 1" descr="Header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ader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6720" cy="982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7360" w:rsidRPr="00B87360" w:rsidRDefault="00B87360" w:rsidP="00B87360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B87360" w:rsidRPr="00B873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7360" w:rsidRPr="00B87360" w:rsidRDefault="00B87360" w:rsidP="00B87360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br/>
                  </w: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br/>
                  </w: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br/>
                  </w: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br/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t>Dear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eastAsia="cs-CZ"/>
                    </w:rPr>
                    <w:t xml:space="preserve"> Zdenek Chlup,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32"/>
                      <w:szCs w:val="32"/>
                      <w:lang w:eastAsia="cs-CZ"/>
                    </w:rPr>
                  </w:pPr>
                  <w:r w:rsidRPr="00B87360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55555"/>
                      <w:sz w:val="32"/>
                      <w:szCs w:val="32"/>
                      <w:lang w:eastAsia="cs-CZ"/>
                    </w:rPr>
                    <w:t>VOTING ON 2014 ILCA RULE CHANGES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32"/>
                      <w:szCs w:val="32"/>
                      <w:lang w:eastAsia="cs-CZ"/>
                    </w:rPr>
                  </w:pPr>
                  <w:r w:rsidRPr="00B87360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55555"/>
                      <w:sz w:val="32"/>
                      <w:szCs w:val="32"/>
                      <w:lang w:eastAsia="cs-CZ"/>
                    </w:rPr>
                    <w:t>APRIL 1 to SEPTEMBER 30, 2014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32"/>
                      <w:szCs w:val="32"/>
                      <w:lang w:eastAsia="cs-CZ"/>
                    </w:rPr>
                  </w:pPr>
                  <w:r w:rsidRPr="00B87360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555555"/>
                      <w:sz w:val="32"/>
                      <w:szCs w:val="32"/>
                      <w:lang w:eastAsia="cs-CZ"/>
                    </w:rPr>
                    <w:t>PLEASE INFORM YOUR DISTRICT MEMBERS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Tuesday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April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1, 2014,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begins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year's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Rule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Changes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period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six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months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; 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must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cast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between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April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1 and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September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30, 2014.</w:t>
                  </w: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done via a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short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online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survey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open to ALL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-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per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reason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ask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help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get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word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out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Please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kindly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email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information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below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which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contains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 link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survey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After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period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ends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(in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October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),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email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once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again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asking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verify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listed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indeed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active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counted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and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results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posted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later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autumn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convenience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may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cut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and paste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information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BELOW THE RED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LINE</w:t>
                  </w: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into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email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includes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 link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survey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There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also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 link 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website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: </w:t>
                  </w:r>
                  <w:hyperlink r:id="rId6" w:tgtFrame="_blank" w:history="1">
                    <w:r w:rsidRPr="00B87360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cs-CZ"/>
                      </w:rPr>
                      <w:t>www.laserinternational.org</w:t>
                    </w:r>
                  </w:hyperlink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Thank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help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promoting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year's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rule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changes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. 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If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have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any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questions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please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contact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by email atmembership@laserinternational.org.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Best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regards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,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Team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___________________________________________________________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SUBJECT: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Please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on ILCA Rule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Changes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April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1 -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September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30, 2014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Dear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,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year's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rule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changes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begins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TUESDAY, APRIL 1, 2014.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open to ALL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active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our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district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- 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 xml:space="preserve"> per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member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period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six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months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-- </w:t>
                  </w:r>
                  <w:r w:rsidRPr="00B8736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cs-CZ"/>
                    </w:rPr>
                    <w:t>TUESDAY, APRIL 1 - TUESDAY, SEPTEMBER 30, 2014</w:t>
                  </w: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lastRenderedPageBreak/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results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announced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later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autumn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Please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take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 moment 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click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link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below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via a </w:t>
                  </w:r>
                  <w:proofErr w:type="spellStart"/>
                  <w:proofErr w:type="gram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quick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, 8-question</w:t>
                  </w:r>
                  <w:proofErr w:type="gram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online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survey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There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will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also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a link 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ILCA website:</w:t>
                  </w:r>
                  <w:hyperlink r:id="rId7" w:tgtFrame="_blank" w:history="1">
                    <w:r w:rsidRPr="00B8736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www.laserinternational.org </w:t>
                    </w:r>
                  </w:hyperlink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To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counted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must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vote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 by SEPTEMBER 30, 2014.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B87360" w:rsidRPr="00B87360" w:rsidRDefault="00B87360" w:rsidP="00B873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6"/>
                      <w:szCs w:val="36"/>
                      <w:lang w:eastAsia="cs-CZ"/>
                    </w:rPr>
                  </w:pPr>
                  <w:hyperlink r:id="rId8" w:tgtFrame="_blank" w:tooltip="undefined" w:history="1">
                    <w:proofErr w:type="spellStart"/>
                    <w:r w:rsidRPr="00B87360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eastAsia="cs-CZ"/>
                      </w:rPr>
                      <w:t>Click</w:t>
                    </w:r>
                    <w:proofErr w:type="spellEnd"/>
                    <w:r w:rsidRPr="00B87360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B87360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eastAsia="cs-CZ"/>
                      </w:rPr>
                      <w:t>here</w:t>
                    </w:r>
                    <w:proofErr w:type="spellEnd"/>
                    <w:r w:rsidRPr="00B87360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eastAsia="cs-CZ"/>
                      </w:rPr>
                      <w:t xml:space="preserve"> to VOTE</w:t>
                    </w:r>
                  </w:hyperlink>
                </w:p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</w:pPr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B87360" w:rsidRPr="00B87360" w:rsidRDefault="00B87360" w:rsidP="00B873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B87360" w:rsidRPr="00B87360" w:rsidTr="00B8736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B87360" w:rsidRPr="00B873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:rsidR="00B87360" w:rsidRPr="00B87360" w:rsidRDefault="00B87360" w:rsidP="00B873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lastRenderedPageBreak/>
                    <w:t>Thank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voting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on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year's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rule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changes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. In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this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way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ILCA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can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be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certain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rules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reflect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opinion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members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around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world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.</w:t>
                  </w:r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br/>
                  </w:r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br/>
                    <w:t xml:space="preserve">Best </w:t>
                  </w:r>
                  <w:proofErr w:type="spellStart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Regards</w:t>
                  </w:r>
                  <w:proofErr w:type="spellEnd"/>
                  <w:r w:rsidRPr="00B87360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</w:tbl>
          <w:p w:rsidR="00B87360" w:rsidRPr="00B87360" w:rsidRDefault="00B87360" w:rsidP="00B873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</w:tbl>
    <w:p w:rsidR="00E33135" w:rsidRDefault="00E33135"/>
    <w:sectPr w:rsidR="00E3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60"/>
    <w:rsid w:val="00B87360"/>
    <w:rsid w:val="00E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7360"/>
    <w:rPr>
      <w:b/>
      <w:bCs/>
    </w:rPr>
  </w:style>
  <w:style w:type="character" w:customStyle="1" w:styleId="apple-converted-space">
    <w:name w:val="apple-converted-space"/>
    <w:basedOn w:val="Standardnpsmoodstavce"/>
    <w:rsid w:val="00B87360"/>
  </w:style>
  <w:style w:type="character" w:styleId="Hypertextovodkaz">
    <w:name w:val="Hyperlink"/>
    <w:basedOn w:val="Standardnpsmoodstavce"/>
    <w:uiPriority w:val="99"/>
    <w:semiHidden/>
    <w:unhideWhenUsed/>
    <w:rsid w:val="00B873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7360"/>
    <w:rPr>
      <w:b/>
      <w:bCs/>
    </w:rPr>
  </w:style>
  <w:style w:type="character" w:customStyle="1" w:styleId="apple-converted-space">
    <w:name w:val="apple-converted-space"/>
    <w:basedOn w:val="Standardnpsmoodstavce"/>
    <w:rsid w:val="00B87360"/>
  </w:style>
  <w:style w:type="character" w:styleId="Hypertextovodkaz">
    <w:name w:val="Hyperlink"/>
    <w:basedOn w:val="Standardnpsmoodstavce"/>
    <w:uiPriority w:val="99"/>
    <w:semiHidden/>
    <w:unhideWhenUsed/>
    <w:rsid w:val="00B873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jq-IcvYEW2oPtOTsR3AyIzLbo93YQepMCazWEekZhAyeCNjoLFehv23ImsLpJLoj-bpxXSjnUNeDN8mcukcN_vd-SnIElMU3mO848m91iFskSVfnWaQxAJ5YuE0wCeh-HydsJojiRajNLAFXN5p0c8vQbbwy5XXWR3r5skEY_B1sifeQxJTl28cqkid85XrtFqa4uSniQrmcecNpdDBE-Kg8ZsK9K2yXg5M_sM07KYIOILMZ0tp9vFp2zGIbqZfGwu05xx4OF0JK5hF-K4EgVc2r6qAEj7e7nMc70J2Q6BPhxwiHFvmDHg==&amp;c=Fh3BCWfhMNyao3gSMNUOf0M3y1E9nRjGqrBbsdPcOt8xuWLs5p4Bfg==&amp;ch=beE9zfJgdKalxsEq0TsO-L42xxmcwY-F4xpPhgu4APM148lBB2Q3PA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jq-IcvYEW2oPtOTsR3AyIzLbo93YQepMCazWEekZhAyeCNjoLFehv23ImsLpJLojb9I0POxQ1HY63V6Z3-l2LJv3tx0HZDFEgAJCSWlS_6vNPjBjebl2VFMQG59TYQWuJGH5UtQMpcdZOa06819iKLjXD8YeSoPTixB5DfKijkQXpUVJXEhlesE2v885aWKV&amp;c=Fh3BCWfhMNyao3gSMNUOf0M3y1E9nRjGqrBbsdPcOt8xuWLs5p4Bfg==&amp;ch=beE9zfJgdKalxsEq0TsO-L42xxmcwY-F4xpPhgu4APM148lBB2Q3PA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jq-IcvYEW2oPtOTsR3AyIzLbo93YQepMCazWEekZhAyeCNjoLFehv23ImsLpJLojaQw1XC_9gDT1etQllQbXiJpuE5PMCmlt-gFUD9g5f8zs8z5LyPjTnY-_qZ9Jg_vjjFuVmKzwAessUL8ooIlvYYcVRBPlcRZQB-aoqd_dmopXJmLzgtEsFw==&amp;c=Fh3BCWfhMNyao3gSMNUOf0M3y1E9nRjGqrBbsdPcOt8xuWLs5p4Bfg==&amp;ch=beE9zfJgdKalxsEq0TsO-L42xxmcwY-F4xpPhgu4APM148lBB2Q3PA=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2014-04-03T08:19:00Z</dcterms:created>
  <dcterms:modified xsi:type="dcterms:W3CDTF">2014-04-03T08:23:00Z</dcterms:modified>
</cp:coreProperties>
</file>